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6"/>
          <w:szCs w:val="36"/>
        </w:rPr>
      </w:pPr>
      <w:r>
        <w:rPr>
          <w:rFonts w:hint="eastAsia"/>
          <w:sz w:val="36"/>
          <w:szCs w:val="36"/>
        </w:rPr>
        <w:t>文学与新闻传播学院第二课堂人才培养方案</w:t>
      </w:r>
    </w:p>
    <w:p>
      <w:pPr>
        <w:rPr>
          <w:rFonts w:eastAsia="仿宋"/>
          <w:sz w:val="30"/>
          <w:szCs w:val="30"/>
        </w:rPr>
      </w:pPr>
      <w:r>
        <w:rPr>
          <w:rFonts w:hint="eastAsia"/>
          <w:sz w:val="36"/>
          <w:szCs w:val="36"/>
        </w:rPr>
        <w:t xml:space="preserve">    </w:t>
      </w:r>
      <w:r>
        <w:rPr>
          <w:rFonts w:hint="eastAsia" w:ascii="仿宋" w:hAnsi="仿宋" w:eastAsia="仿宋" w:cs="Times New Roman"/>
          <w:sz w:val="30"/>
          <w:szCs w:val="30"/>
        </w:rPr>
        <w:t>为充分发挥第二课堂在立德树人根本任务和人才培养中心工作方面的积极作用，促进学生有目的、有计划、有组织地参与第二课堂活动，依据《山东理工大学“第二课堂”实施办法》</w:t>
      </w:r>
      <w:r>
        <w:rPr>
          <w:rFonts w:hint="eastAsia" w:ascii="仿宋" w:hAnsi="仿宋" w:eastAsia="仿宋" w:cs="Times New Roman"/>
          <w:color w:val="000000" w:themeColor="text1"/>
          <w:sz w:val="30"/>
          <w:szCs w:val="30"/>
          <w14:textFill>
            <w14:solidFill>
              <w14:schemeClr w14:val="tx1"/>
            </w14:solidFill>
          </w14:textFill>
        </w:rPr>
        <w:t>，结合学院实际工作，特制定文学与新闻传播学院第二课堂人才培养方案。</w:t>
      </w:r>
    </w:p>
    <w:p>
      <w:pPr>
        <w:ind w:firstLine="602" w:firstLineChars="200"/>
        <w:rPr>
          <w:rFonts w:ascii="仿宋" w:hAnsi="仿宋" w:eastAsia="仿宋" w:cs="仿宋"/>
          <w:b/>
          <w:bCs/>
          <w:sz w:val="30"/>
          <w:szCs w:val="30"/>
        </w:rPr>
      </w:pPr>
      <w:r>
        <w:rPr>
          <w:rFonts w:hint="eastAsia" w:ascii="黑体" w:hAnsi="黑体" w:eastAsia="黑体" w:cs="黑体"/>
          <w:b/>
          <w:bCs/>
          <w:sz w:val="30"/>
          <w:szCs w:val="30"/>
        </w:rPr>
        <w:t>一、培养目标</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围绕学校“五有”人才培养目标，全面提升大学生综合实践能力，有目的、有计划、有组织的</w:t>
      </w:r>
      <w:r>
        <w:rPr>
          <w:rFonts w:ascii="仿宋" w:hAnsi="仿宋" w:eastAsia="仿宋" w:cs="Times New Roman"/>
          <w:sz w:val="30"/>
          <w:szCs w:val="30"/>
        </w:rPr>
        <w:t>进行</w:t>
      </w:r>
      <w:r>
        <w:rPr>
          <w:rFonts w:hint="eastAsia" w:ascii="仿宋" w:hAnsi="仿宋" w:eastAsia="仿宋" w:cs="Times New Roman"/>
          <w:sz w:val="30"/>
          <w:szCs w:val="30"/>
        </w:rPr>
        <w:t>实践活动</w:t>
      </w:r>
      <w:r>
        <w:rPr>
          <w:rFonts w:ascii="仿宋" w:hAnsi="仿宋" w:eastAsia="仿宋" w:cs="Times New Roman"/>
          <w:sz w:val="30"/>
          <w:szCs w:val="30"/>
        </w:rPr>
        <w:t>，</w:t>
      </w:r>
      <w:r>
        <w:rPr>
          <w:rFonts w:hint="eastAsia" w:ascii="仿宋" w:hAnsi="仿宋" w:eastAsia="仿宋" w:cs="Times New Roman"/>
          <w:sz w:val="30"/>
          <w:szCs w:val="30"/>
        </w:rPr>
        <w:t>与第一课堂</w:t>
      </w:r>
      <w:r>
        <w:rPr>
          <w:rFonts w:ascii="仿宋" w:hAnsi="仿宋" w:eastAsia="仿宋" w:cs="Times New Roman"/>
          <w:sz w:val="30"/>
          <w:szCs w:val="30"/>
        </w:rPr>
        <w:t>相辅相成</w:t>
      </w:r>
      <w:r>
        <w:rPr>
          <w:rFonts w:hint="eastAsia" w:ascii="仿宋" w:hAnsi="仿宋" w:eastAsia="仿宋" w:cs="Times New Roman"/>
          <w:sz w:val="30"/>
          <w:szCs w:val="30"/>
        </w:rPr>
        <w:t>，</w:t>
      </w:r>
      <w:r>
        <w:rPr>
          <w:rFonts w:ascii="仿宋" w:hAnsi="仿宋" w:eastAsia="仿宋" w:cs="Times New Roman"/>
          <w:sz w:val="30"/>
          <w:szCs w:val="30"/>
        </w:rPr>
        <w:t>互为表里</w:t>
      </w:r>
      <w:r>
        <w:rPr>
          <w:rFonts w:hint="eastAsia" w:ascii="仿宋" w:hAnsi="仿宋" w:eastAsia="仿宋" w:cs="Times New Roman"/>
          <w:sz w:val="30"/>
          <w:szCs w:val="30"/>
        </w:rPr>
        <w:t>，在</w:t>
      </w:r>
      <w:r>
        <w:rPr>
          <w:rFonts w:ascii="仿宋" w:hAnsi="仿宋" w:eastAsia="仿宋" w:cs="Times New Roman"/>
          <w:sz w:val="30"/>
          <w:szCs w:val="30"/>
        </w:rPr>
        <w:t>学校和</w:t>
      </w:r>
      <w:r>
        <w:rPr>
          <w:rFonts w:hint="eastAsia" w:ascii="仿宋" w:hAnsi="仿宋" w:eastAsia="仿宋" w:cs="Times New Roman"/>
          <w:sz w:val="30"/>
          <w:szCs w:val="30"/>
        </w:rPr>
        <w:t>第二课堂管理中心的</w:t>
      </w:r>
      <w:r>
        <w:rPr>
          <w:rFonts w:ascii="仿宋" w:hAnsi="仿宋" w:eastAsia="仿宋" w:cs="Times New Roman"/>
          <w:sz w:val="30"/>
          <w:szCs w:val="30"/>
        </w:rPr>
        <w:t>引领和指导下</w:t>
      </w:r>
      <w:r>
        <w:rPr>
          <w:rFonts w:hint="eastAsia" w:ascii="仿宋" w:hAnsi="仿宋" w:eastAsia="仿宋" w:cs="Times New Roman"/>
          <w:sz w:val="30"/>
          <w:szCs w:val="30"/>
        </w:rPr>
        <w:t>本着“融入性”，“学生主体”，“开放性”的原则，</w:t>
      </w:r>
      <w:r>
        <w:rPr>
          <w:rFonts w:ascii="仿宋" w:hAnsi="仿宋" w:eastAsia="仿宋" w:cs="Times New Roman"/>
          <w:sz w:val="30"/>
          <w:szCs w:val="30"/>
        </w:rPr>
        <w:t>在</w:t>
      </w:r>
      <w:r>
        <w:rPr>
          <w:rFonts w:hint="eastAsia" w:ascii="仿宋" w:hAnsi="仿宋" w:eastAsia="仿宋" w:cs="Times New Roman"/>
          <w:sz w:val="30"/>
          <w:szCs w:val="30"/>
        </w:rPr>
        <w:t>“社会责任”“创新能力”“实践能力”“身心修养”“特色发展”五个模块，共同致力于学校五有人才的培养。</w:t>
      </w:r>
    </w:p>
    <w:p>
      <w:pPr>
        <w:ind w:firstLine="600" w:firstLineChars="200"/>
        <w:rPr>
          <w:rFonts w:hint="eastAsia" w:ascii="仿宋" w:hAnsi="仿宋" w:eastAsia="仿宋" w:cs="仿宋"/>
          <w:sz w:val="30"/>
          <w:szCs w:val="30"/>
          <w:lang w:val="en-US" w:eastAsia="zh-CN"/>
        </w:rPr>
      </w:pPr>
      <w:r>
        <w:rPr>
          <w:rFonts w:hint="eastAsia" w:ascii="仿宋" w:hAnsi="仿宋" w:eastAsia="仿宋" w:cs="Times New Roman"/>
          <w:sz w:val="30"/>
          <w:szCs w:val="30"/>
        </w:rPr>
        <w:t>以同学自主设计、自主组织、自主选择为主要方式，以契合学生需要，服务学生成长为目标，鼓励学生参与校内外志愿公益活动、创新创业实践活动以及其他文体艺术活动</w:t>
      </w:r>
      <w:r>
        <w:rPr>
          <w:rFonts w:ascii="仿宋" w:hAnsi="仿宋" w:eastAsia="仿宋" w:cs="Times New Roman"/>
          <w:sz w:val="30"/>
          <w:szCs w:val="30"/>
        </w:rPr>
        <w:t>等</w:t>
      </w:r>
      <w:r>
        <w:rPr>
          <w:rFonts w:hint="eastAsia" w:ascii="仿宋" w:hAnsi="仿宋" w:eastAsia="仿宋" w:cs="Times New Roman"/>
          <w:sz w:val="30"/>
          <w:szCs w:val="30"/>
        </w:rPr>
        <w:t>，使学生在第二课堂实现自我教育、自我管理、自我提升，丰富大学生活。</w:t>
      </w:r>
      <w:r>
        <w:rPr>
          <w:rFonts w:hint="eastAsia" w:ascii="仿宋" w:hAnsi="仿宋" w:eastAsia="仿宋" w:cs="Times New Roman"/>
          <w:sz w:val="30"/>
          <w:szCs w:val="30"/>
          <w:lang w:val="en-US" w:eastAsia="zh-CN"/>
        </w:rPr>
        <w:t xml:space="preserve"> </w:t>
      </w:r>
    </w:p>
    <w:p>
      <w:pPr>
        <w:numPr>
          <w:numId w:val="0"/>
        </w:numPr>
        <w:ind w:firstLine="602" w:firstLineChars="200"/>
        <w:rPr>
          <w:rFonts w:ascii="黑体" w:hAnsi="黑体" w:eastAsia="黑体" w:cs="黑体"/>
          <w:b/>
          <w:bCs/>
          <w:sz w:val="30"/>
          <w:szCs w:val="30"/>
        </w:rPr>
      </w:pPr>
      <w:r>
        <w:rPr>
          <w:rFonts w:hint="eastAsia" w:ascii="黑体" w:hAnsi="黑体" w:eastAsia="黑体" w:cs="黑体"/>
          <w:b/>
          <w:bCs/>
          <w:sz w:val="30"/>
          <w:szCs w:val="30"/>
          <w:lang w:eastAsia="zh-CN"/>
        </w:rPr>
        <w:t>二、</w:t>
      </w:r>
      <w:r>
        <w:rPr>
          <w:rFonts w:hint="eastAsia" w:ascii="黑体" w:hAnsi="黑体" w:eastAsia="黑体" w:cs="黑体"/>
          <w:b/>
          <w:bCs/>
          <w:sz w:val="30"/>
          <w:szCs w:val="30"/>
        </w:rPr>
        <w:t>培养要求</w:t>
      </w:r>
    </w:p>
    <w:p>
      <w:pPr>
        <w:rPr>
          <w:rFonts w:ascii="黑体" w:hAnsi="黑体" w:eastAsia="仿宋" w:cs="黑体"/>
          <w:b/>
          <w:bCs/>
          <w:sz w:val="30"/>
          <w:szCs w:val="30"/>
        </w:rPr>
      </w:pPr>
      <w:r>
        <w:rPr>
          <w:rFonts w:hint="eastAsia" w:ascii="黑体" w:hAnsi="黑体" w:eastAsia="黑体" w:cs="黑体"/>
          <w:b/>
          <w:bCs/>
          <w:sz w:val="30"/>
          <w:szCs w:val="30"/>
        </w:rPr>
        <w:t xml:space="preserve">    </w:t>
      </w:r>
      <w:r>
        <w:rPr>
          <w:rFonts w:hint="eastAsia" w:ascii="仿宋" w:hAnsi="仿宋" w:eastAsia="仿宋" w:cs="Times New Roman"/>
          <w:color w:val="000000" w:themeColor="text1"/>
          <w:sz w:val="30"/>
          <w:szCs w:val="30"/>
          <w14:textFill>
            <w14:solidFill>
              <w14:schemeClr w14:val="tx1"/>
            </w14:solidFill>
          </w14:textFill>
        </w:rPr>
        <w:t>立足学校“五有”</w:t>
      </w:r>
      <w:r>
        <w:rPr>
          <w:rFonts w:ascii="仿宋" w:hAnsi="仿宋" w:eastAsia="仿宋" w:cs="Times New Roman"/>
          <w:color w:val="000000" w:themeColor="text1"/>
          <w:sz w:val="30"/>
          <w:szCs w:val="30"/>
          <w14:textFill>
            <w14:solidFill>
              <w14:schemeClr w14:val="tx1"/>
            </w14:solidFill>
          </w14:textFill>
        </w:rPr>
        <w:t>人才培养</w:t>
      </w:r>
      <w:r>
        <w:rPr>
          <w:rFonts w:hint="eastAsia" w:ascii="仿宋" w:hAnsi="仿宋" w:eastAsia="仿宋" w:cs="Times New Roman"/>
          <w:color w:val="000000" w:themeColor="text1"/>
          <w:sz w:val="30"/>
          <w:szCs w:val="30"/>
          <w14:textFill>
            <w14:solidFill>
              <w14:schemeClr w14:val="tx1"/>
            </w14:solidFill>
          </w14:textFill>
        </w:rPr>
        <w:t>目标，包括“社会责任”、“创新能力”、“实践能力”、“</w:t>
      </w:r>
      <w:r>
        <w:rPr>
          <w:rFonts w:hint="eastAsia" w:ascii="仿宋" w:hAnsi="仿宋" w:eastAsia="仿宋" w:cs="Times New Roman"/>
          <w:sz w:val="30"/>
          <w:szCs w:val="30"/>
        </w:rPr>
        <w:t>身心修养</w:t>
      </w:r>
      <w:r>
        <w:rPr>
          <w:rFonts w:hint="eastAsia" w:ascii="仿宋" w:hAnsi="仿宋" w:eastAsia="仿宋" w:cs="Times New Roman"/>
          <w:color w:val="000000" w:themeColor="text1"/>
          <w:sz w:val="30"/>
          <w:szCs w:val="30"/>
          <w14:textFill>
            <w14:solidFill>
              <w14:schemeClr w14:val="tx1"/>
            </w14:solidFill>
          </w14:textFill>
        </w:rPr>
        <w:t>”和“特色发展”五个模块，采取学分式评价方式，设置8个必修学分，学生在弹性学制内须修满学分方能申请毕业，其中成绩单5个模块均须获得</w:t>
      </w:r>
      <w:r>
        <w:rPr>
          <w:rFonts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14:textFill>
            <w14:solidFill>
              <w14:schemeClr w14:val="tx1"/>
            </w14:solidFill>
          </w14:textFill>
        </w:rPr>
        <w:t>个基本学分，另外3个学分可以分属成绩单任意一个或几个模块。</w:t>
      </w:r>
    </w:p>
    <w:p>
      <w:pPr>
        <w:ind w:firstLine="600" w:firstLineChars="200"/>
        <w:rPr>
          <w:rFonts w:ascii="仿宋" w:hAnsi="仿宋" w:eastAsia="仿宋" w:cs="仿宋"/>
          <w:sz w:val="30"/>
          <w:szCs w:val="30"/>
        </w:rPr>
      </w:pPr>
      <w:r>
        <w:rPr>
          <w:rFonts w:hint="eastAsia" w:ascii="仿宋" w:hAnsi="仿宋" w:eastAsia="仿宋" w:cs="仿宋"/>
          <w:sz w:val="30"/>
          <w:szCs w:val="30"/>
        </w:rPr>
        <w:t>1、社会责任：要始终把提高学生思想道德品质放在第一位，鼓励学生参加教助残、爱老助老、社区服务、公益环保和</w:t>
      </w:r>
      <w:r>
        <w:rPr>
          <w:rFonts w:hint="eastAsia" w:ascii="仿宋" w:hAnsi="仿宋" w:eastAsia="仿宋" w:cs="Times New Roman"/>
          <w:color w:val="000000" w:themeColor="text1"/>
          <w:sz w:val="30"/>
          <w:szCs w:val="30"/>
          <w14:textFill>
            <w14:solidFill>
              <w14:schemeClr w14:val="tx1"/>
            </w14:solidFill>
          </w14:textFill>
        </w:rPr>
        <w:t>大学生志愿服务西部计划</w:t>
      </w:r>
      <w:r>
        <w:rPr>
          <w:rFonts w:hint="eastAsia" w:ascii="仿宋" w:hAnsi="仿宋" w:eastAsia="仿宋" w:cs="仿宋"/>
          <w:sz w:val="30"/>
          <w:szCs w:val="30"/>
        </w:rPr>
        <w:t>等活动，进行国防教育实践，履行无偿献血、见义勇为等社会责任。培育和引导学生践行社会主义核心价值观，坚定理想信念，陶冶道德情操，诚实守信，艰苦奋斗，敢于担当，自觉服务社会、奉献社会，体现社会责任感。</w:t>
      </w:r>
    </w:p>
    <w:p>
      <w:pPr>
        <w:ind w:firstLine="600" w:firstLineChars="200"/>
        <w:rPr>
          <w:rFonts w:ascii="仿宋" w:hAnsi="仿宋" w:eastAsia="仿宋" w:cs="仿宋"/>
          <w:sz w:val="30"/>
          <w:szCs w:val="30"/>
        </w:rPr>
      </w:pPr>
      <w:r>
        <w:rPr>
          <w:rFonts w:hint="eastAsia" w:ascii="仿宋" w:hAnsi="仿宋" w:eastAsia="仿宋" w:cs="仿宋"/>
          <w:sz w:val="30"/>
          <w:szCs w:val="30"/>
        </w:rPr>
        <w:t>2、创新能力：着重培养学生创新的意识、精神和能力、素质，让创新凝结成学生固有的气质。</w:t>
      </w:r>
      <w:r>
        <w:rPr>
          <w:rFonts w:ascii="仿宋" w:hAnsi="仿宋" w:eastAsia="仿宋" w:cs="仿宋"/>
          <w:sz w:val="30"/>
          <w:szCs w:val="30"/>
        </w:rPr>
        <w:t>积极鼓励</w:t>
      </w:r>
      <w:r>
        <w:rPr>
          <w:rFonts w:hint="eastAsia" w:ascii="仿宋" w:hAnsi="仿宋" w:eastAsia="仿宋" w:cs="仿宋"/>
          <w:sz w:val="30"/>
          <w:szCs w:val="30"/>
        </w:rPr>
        <w:t>学生参加学术报告、学术讲座、赛事培训，进行学术研究，发表学术报告，参与创新创业实践以及参加各级各类学术科技、创新创业竞赛等活动，让学生学会独立思考，养成批判性思维，不墨守成规，不唯书、不唯上，敢于质疑，善于提出新理念、新观点和新方法。</w:t>
      </w:r>
    </w:p>
    <w:p>
      <w:pPr>
        <w:ind w:firstLine="600" w:firstLineChars="200"/>
        <w:rPr>
          <w:rFonts w:ascii="仿宋" w:hAnsi="仿宋" w:eastAsia="仿宋" w:cs="仿宋"/>
          <w:sz w:val="30"/>
          <w:szCs w:val="30"/>
        </w:rPr>
      </w:pPr>
      <w:r>
        <w:rPr>
          <w:rFonts w:hint="eastAsia" w:ascii="仿宋" w:hAnsi="仿宋" w:eastAsia="仿宋" w:cs="仿宋"/>
          <w:sz w:val="30"/>
          <w:szCs w:val="30"/>
        </w:rPr>
        <w:t>3、实践能力：培养学生把思想和理论转化为具体行动的能力，提升学生的实践能力和实践水平。鼓励和引导学生利用寒假、暑假时间，深入基层，踏入社会，运用所学知识分析、发现、解决实际问题，鼓励并支持学生进行勤工俭学、</w:t>
      </w:r>
      <w:r>
        <w:rPr>
          <w:rFonts w:hint="eastAsia" w:ascii="仿宋" w:hAnsi="仿宋" w:eastAsia="仿宋" w:cs="Times New Roman"/>
          <w:sz w:val="30"/>
          <w:szCs w:val="30"/>
        </w:rPr>
        <w:t>就业实习、岗位见习及其他实践活动</w:t>
      </w:r>
      <w:r>
        <w:rPr>
          <w:rFonts w:hint="eastAsia" w:ascii="仿宋" w:hAnsi="仿宋" w:eastAsia="仿宋" w:cs="仿宋"/>
          <w:sz w:val="30"/>
          <w:szCs w:val="30"/>
        </w:rPr>
        <w:t>，参与社团活动，在社会实践中学真知、悟真谛，经受锻炼，增长才干，实现知识和行动的有机统一，真正做到学以致用、知行合一。</w:t>
      </w:r>
    </w:p>
    <w:p>
      <w:pPr>
        <w:ind w:firstLine="600" w:firstLineChars="200"/>
        <w:rPr>
          <w:rFonts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Times New Roman"/>
          <w:sz w:val="30"/>
          <w:szCs w:val="30"/>
        </w:rPr>
        <w:t>身心修养</w:t>
      </w:r>
      <w:r>
        <w:rPr>
          <w:rFonts w:hint="eastAsia" w:ascii="仿宋" w:hAnsi="仿宋" w:eastAsia="仿宋" w:cs="仿宋"/>
          <w:sz w:val="30"/>
          <w:szCs w:val="30"/>
        </w:rPr>
        <w:t>：引导学生不仅要保持身体健康，还应当在心理和社会适应能力等方面保持健全与良好状态。鼓励和支持学生经常参加文体艺术活动、党团组织活动、交流访学等有益于身心修养的活动项目，竞选学生干部，积极参加学生干部培训、党团教育培训等，增强学生的人文关怀和心理素质，使学生拥有勇敢的心，坦然面对人生的困难与挫折，正确缓解和释放压力，用阳光的心态投入学习、工作和生活。</w:t>
      </w:r>
    </w:p>
    <w:p>
      <w:pPr>
        <w:ind w:firstLine="600" w:firstLineChars="200"/>
        <w:rPr>
          <w:rFonts w:ascii="仿宋" w:hAnsi="仿宋" w:eastAsia="仿宋" w:cs="仿宋"/>
          <w:sz w:val="30"/>
          <w:szCs w:val="30"/>
        </w:rPr>
      </w:pPr>
      <w:r>
        <w:rPr>
          <w:rFonts w:hint="eastAsia" w:ascii="仿宋" w:hAnsi="仿宋" w:eastAsia="仿宋" w:cs="仿宋"/>
          <w:sz w:val="30"/>
          <w:szCs w:val="30"/>
        </w:rPr>
        <w:t>5、特色发展：鼓励和引导学生按照自己的兴趣和能力，结合自己未来发展方向，通过阅读以及参加学校或学院组织的与读书有关的活动，努力学习更多的知识和技能，发展自己的爱好和特长，争取以更多的技能证书充实自己，以此充分挖掘学生自身的潜力，发挥学生自身的优势，增强学生的独立性和自主性，丰富充实学生的大学生活，加强学生自身的价值。</w:t>
      </w:r>
    </w:p>
    <w:p>
      <w:pPr>
        <w:rPr>
          <w:rFonts w:ascii="黑体" w:hAnsi="黑体" w:eastAsia="黑体"/>
          <w:sz w:val="30"/>
          <w:szCs w:val="30"/>
        </w:rPr>
        <w:sectPr>
          <w:pgSz w:w="11906" w:h="16838"/>
          <w:pgMar w:top="1440" w:right="1800" w:bottom="1440" w:left="1800" w:header="851" w:footer="992" w:gutter="0"/>
          <w:cols w:space="425" w:num="1"/>
          <w:docGrid w:type="lines" w:linePitch="312" w:charSpace="0"/>
        </w:sectPr>
      </w:pPr>
    </w:p>
    <w:p>
      <w:pPr>
        <w:numPr>
          <w:numId w:val="0"/>
        </w:numPr>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第二课堂活动项目规划</w:t>
      </w:r>
    </w:p>
    <w:p>
      <w:pPr>
        <w:rPr>
          <w:rFonts w:ascii="黑体" w:hAnsi="黑体" w:eastAsia="黑体"/>
          <w:sz w:val="32"/>
          <w:szCs w:val="32"/>
        </w:rPr>
      </w:pPr>
    </w:p>
    <w:tbl>
      <w:tblPr>
        <w:tblStyle w:val="8"/>
        <w:tblW w:w="13988" w:type="dxa"/>
        <w:tblInd w:w="0" w:type="dxa"/>
        <w:tblLayout w:type="fixed"/>
        <w:tblCellMar>
          <w:top w:w="15" w:type="dxa"/>
          <w:left w:w="15" w:type="dxa"/>
          <w:bottom w:w="15" w:type="dxa"/>
          <w:right w:w="15" w:type="dxa"/>
        </w:tblCellMar>
      </w:tblPr>
      <w:tblGrid>
        <w:gridCol w:w="792"/>
        <w:gridCol w:w="1917"/>
        <w:gridCol w:w="845"/>
        <w:gridCol w:w="1139"/>
        <w:gridCol w:w="1559"/>
        <w:gridCol w:w="1092"/>
        <w:gridCol w:w="1870"/>
        <w:gridCol w:w="1210"/>
        <w:gridCol w:w="1984"/>
        <w:gridCol w:w="793"/>
        <w:gridCol w:w="787"/>
      </w:tblGrid>
      <w:tr>
        <w:tblPrEx>
          <w:tblLayout w:type="fixed"/>
          <w:tblCellMar>
            <w:top w:w="15" w:type="dxa"/>
            <w:left w:w="15" w:type="dxa"/>
            <w:bottom w:w="15" w:type="dxa"/>
            <w:right w:w="15" w:type="dxa"/>
          </w:tblCellMar>
        </w:tblPrEx>
        <w:trPr>
          <w:trHeight w:val="7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模块</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活动项目名称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活动级别</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开展时间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建议修读对象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修读建议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责任单位</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最大参与人数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奖项及学分设置</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预计学分发放量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备注</w:t>
            </w:r>
          </w:p>
        </w:tc>
      </w:tr>
      <w:tr>
        <w:tblPrEx>
          <w:tblLayout w:type="fixed"/>
          <w:tblCellMar>
            <w:top w:w="15" w:type="dxa"/>
            <w:left w:w="15" w:type="dxa"/>
            <w:bottom w:w="15" w:type="dxa"/>
            <w:right w:w="15" w:type="dxa"/>
          </w:tblCellMar>
        </w:tblPrEx>
        <w:trPr>
          <w:trHeight w:val="746"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widowControl/>
              <w:ind w:left="113" w:right="113"/>
              <w:jc w:val="center"/>
              <w:textAlignment w:val="center"/>
              <w:rPr>
                <w:rFonts w:ascii="宋体" w:hAnsi="宋体"/>
                <w:color w:val="000000"/>
                <w:sz w:val="22"/>
              </w:rPr>
            </w:pPr>
            <w:r>
              <w:rPr>
                <w:rFonts w:hint="eastAsia" w:ascii="宋体" w:hAnsi="宋体"/>
                <w:b/>
                <w:bCs/>
                <w:color w:val="000000"/>
                <w:kern w:val="0"/>
                <w:sz w:val="28"/>
                <w:szCs w:val="28"/>
                <w:lang w:bidi="ar"/>
              </w:rPr>
              <w:t>社    会     责     任</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社区公益活动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青年志愿者协会主办、社区服务中心承办</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0.05分/工时</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112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校纪校规网上答题竞赛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2018年9月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大一学生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必修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学习部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一等奖1.0分/人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二等奖0.8分/人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三等奖0.5分/人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优秀奖0.3/人</w:t>
            </w:r>
          </w:p>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70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112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纪念孔子诞辰系列活动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2018年9月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全院同学</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国学社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70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112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纪念南京公祭日征文活动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2018年12月10日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易班综合部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70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爱国文章朗读比赛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2018年12月10日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易班综合部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70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112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习大大重要讲话观后感评选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2018年12月15日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新媒体</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70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60" w:hRule="atLeast"/>
        </w:trPr>
        <w:tc>
          <w:tcPr>
            <w:tcW w:w="792" w:type="dxa"/>
            <w:vMerge w:val="restart"/>
            <w:tcBorders>
              <w:top w:val="single" w:color="000000" w:sz="4" w:space="0"/>
              <w:left w:val="single" w:color="000000" w:sz="4" w:space="0"/>
              <w:right w:val="single" w:color="000000" w:sz="4" w:space="0"/>
            </w:tcBorders>
            <w:shd w:val="clear" w:color="auto" w:fill="auto"/>
            <w:textDirection w:val="tbLrV"/>
            <w:vAlign w:val="center"/>
          </w:tcPr>
          <w:p>
            <w:pPr>
              <w:widowControl/>
              <w:ind w:left="113" w:right="113"/>
              <w:jc w:val="center"/>
              <w:textAlignment w:val="center"/>
              <w:rPr>
                <w:rFonts w:ascii="宋体" w:hAnsi="宋体"/>
                <w:color w:val="000000"/>
                <w:sz w:val="22"/>
              </w:rPr>
            </w:pPr>
            <w:r>
              <w:rPr>
                <w:rFonts w:hint="eastAsia" w:ascii="宋体" w:hAnsi="宋体"/>
                <w:b/>
                <w:bCs/>
                <w:color w:val="000000"/>
                <w:kern w:val="0"/>
                <w:sz w:val="28"/>
                <w:szCs w:val="28"/>
                <w:lang w:bidi="ar"/>
              </w:rPr>
              <w:t>创       新         能       力</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简历设计大赛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就业服务部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一等奖1.0分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二等奖0.8分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三等奖0.5分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优秀奖0.3分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参赛0.2分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p>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40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792" w:type="dxa"/>
            <w:vMerge w:val="continue"/>
            <w:tcBorders>
              <w:left w:val="single" w:color="000000" w:sz="4" w:space="0"/>
              <w:right w:val="single" w:color="000000" w:sz="4" w:space="0"/>
            </w:tcBorders>
            <w:shd w:val="clear" w:color="auto" w:fill="auto"/>
            <w:textDirection w:val="tbLrV"/>
            <w:vAlign w:val="center"/>
          </w:tcPr>
          <w:p>
            <w:pPr>
              <w:widowControl/>
              <w:ind w:left="113" w:right="113"/>
              <w:jc w:val="center"/>
              <w:textAlignment w:val="center"/>
              <w:rPr>
                <w:rFonts w:ascii="宋体" w:hAnsi="宋体"/>
                <w:b/>
                <w:bCs/>
                <w:color w:val="000000"/>
                <w:kern w:val="0"/>
                <w:sz w:val="28"/>
                <w:szCs w:val="28"/>
                <w:lang w:bidi="ar"/>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《论语》诵读打卡活动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2018年9月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金话筒协会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150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40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1076" w:hRule="atLeast"/>
        </w:trPr>
        <w:tc>
          <w:tcPr>
            <w:tcW w:w="792" w:type="dxa"/>
            <w:vMerge w:val="continue"/>
            <w:tcBorders>
              <w:left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“品经典之美，寻圣贤之道”中华经典诵读</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校级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校团委主办、社团服务中心承办</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401" w:hRule="atLeast"/>
        </w:trPr>
        <w:tc>
          <w:tcPr>
            <w:tcW w:w="792" w:type="dxa"/>
            <w:vMerge w:val="continue"/>
            <w:tcBorders>
              <w:left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平面广告设计比赛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支点广告学社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150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01" w:hRule="atLeast"/>
        </w:trPr>
        <w:tc>
          <w:tcPr>
            <w:tcW w:w="792" w:type="dxa"/>
            <w:vMerge w:val="continue"/>
            <w:tcBorders>
              <w:left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海报设计大赛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网络部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61" w:hRule="atLeast"/>
        </w:trPr>
        <w:tc>
          <w:tcPr>
            <w:tcW w:w="792" w:type="dxa"/>
            <w:vMerge w:val="continue"/>
            <w:tcBorders>
              <w:left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原创微信评比</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2018年12月1日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新媒体部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80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1176" w:hRule="atLeast"/>
        </w:trPr>
        <w:tc>
          <w:tcPr>
            <w:tcW w:w="792" w:type="dxa"/>
            <w:vMerge w:val="continue"/>
            <w:tcBorders>
              <w:left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“做有意思的教书匠”教案设计大赛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红烛社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1086" w:hRule="atLeast"/>
        </w:trPr>
        <w:tc>
          <w:tcPr>
            <w:tcW w:w="7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创业论坛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大一、大二学生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创新创业部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0.05</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分</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/工时</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10"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widowControl/>
              <w:ind w:left="113" w:right="113"/>
              <w:jc w:val="center"/>
              <w:textAlignment w:val="center"/>
              <w:rPr>
                <w:rFonts w:ascii="宋体" w:hAnsi="宋体"/>
                <w:color w:val="000000"/>
                <w:sz w:val="22"/>
              </w:rPr>
            </w:pPr>
            <w:r>
              <w:rPr>
                <w:rFonts w:hint="eastAsia" w:ascii="宋体" w:hAnsi="宋体"/>
                <w:b/>
                <w:bCs/>
                <w:color w:val="000000"/>
                <w:kern w:val="0"/>
                <w:sz w:val="28"/>
                <w:szCs w:val="28"/>
                <w:lang w:bidi="ar"/>
              </w:rPr>
              <w:t>实  践  能  力</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实践归来话感悟</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大二、大三学生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实践部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一等奖1.0分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二等奖0.8分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三等奖0.5分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优秀奖0.3分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w:t>
            </w:r>
          </w:p>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40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“维权路有你”诗文征集大赛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权益部、蒲公英文学社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6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维权知识竞赛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秘书处、权益部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58"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寒假社会实践</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2018年3月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大一、大二学生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必修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实践部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国家级表彰3.0分  省级表彰2.0分   校级表彰1.0分    及格0.5分/人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学习经验交流分享会</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大一学生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学习部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0.1分/人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widowControl/>
              <w:ind w:left="113" w:right="113"/>
              <w:jc w:val="center"/>
              <w:textAlignment w:val="center"/>
              <w:rPr>
                <w:rFonts w:hint="eastAsia" w:ascii="宋体" w:hAnsi="宋体" w:eastAsia="宋体"/>
                <w:color w:val="000000"/>
                <w:sz w:val="22"/>
                <w:lang w:val="en-US" w:eastAsia="zh-CN"/>
              </w:rPr>
            </w:pPr>
            <w:r>
              <w:rPr>
                <w:rFonts w:hint="eastAsia" w:ascii="宋体" w:hAnsi="宋体"/>
                <w:b/>
                <w:bCs/>
                <w:color w:val="000000"/>
                <w:kern w:val="0"/>
                <w:sz w:val="28"/>
                <w:szCs w:val="28"/>
                <w:lang w:eastAsia="zh-CN" w:bidi="ar"/>
              </w:rPr>
              <w:t>身</w:t>
            </w:r>
            <w:r>
              <w:rPr>
                <w:rFonts w:hint="eastAsia" w:ascii="宋体" w:hAnsi="宋体"/>
                <w:b/>
                <w:bCs/>
                <w:color w:val="000000"/>
                <w:kern w:val="0"/>
                <w:sz w:val="28"/>
                <w:szCs w:val="28"/>
                <w:lang w:val="en-US" w:eastAsia="zh-CN" w:bidi="ar"/>
              </w:rPr>
              <w:t xml:space="preserve">  心  修  养</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迎新杯篮球赛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体育部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80</w:t>
            </w:r>
          </w:p>
        </w:tc>
        <w:tc>
          <w:tcPr>
            <w:tcW w:w="198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一等奖1.0分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二等奖0.8分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三等奖0.5分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优秀奖0.3分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   参赛0.2分</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/人</w:t>
            </w:r>
          </w:p>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6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我的未来我做主征文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就业服务部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7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宿舍安全知识竞赛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自律部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120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2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宿舍才艺大比拼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文化部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120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1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宿舍安全我来讲</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文化部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120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4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文明宿舍评比活动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自律部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120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06"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“缤纷社团”我来秀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2018年9月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支点广告学社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3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广告知识竞赛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支点广告学社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36"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抖音小视频征集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三月剧社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36"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秋韵|花落知多少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蒲公英文学社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80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36"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教师资格证面试模拟大赛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红烛社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3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早起打卡活动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2018年11月1日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新媒体部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7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第七届“儒林杯”辩论赛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大一学生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中心学习部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7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中秋节诗词创作比赛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2018年9月24日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易班综合部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91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孔子著作默写比赛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2018年9月28日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易班综合部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3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成语大会</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红烛社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39"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 xml:space="preserve">就业主题辩论赛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2018年12月1日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就业服务部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10</w:t>
            </w:r>
          </w:p>
        </w:tc>
        <w:tc>
          <w:tcPr>
            <w:tcW w:w="19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55"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广告赛事宣讲会</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支点广告学社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0.2</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分</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24"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tcPr>
          <w:p>
            <w:pPr>
              <w:widowControl/>
              <w:ind w:left="113" w:right="113"/>
              <w:jc w:val="center"/>
              <w:textAlignment w:val="center"/>
              <w:rPr>
                <w:rFonts w:ascii="宋体" w:hAnsi="宋体"/>
                <w:b/>
                <w:bCs/>
                <w:color w:val="000000"/>
                <w:sz w:val="28"/>
                <w:szCs w:val="28"/>
              </w:rPr>
            </w:pPr>
            <w:r>
              <w:rPr>
                <w:rFonts w:hint="eastAsia" w:ascii="宋体" w:hAnsi="宋体"/>
                <w:b/>
                <w:bCs/>
                <w:color w:val="000000"/>
                <w:sz w:val="28"/>
                <w:szCs w:val="28"/>
              </w:rPr>
              <w:t xml:space="preserve">特 </w:t>
            </w:r>
            <w:r>
              <w:rPr>
                <w:rFonts w:ascii="宋体" w:hAnsi="宋体"/>
                <w:b/>
                <w:bCs/>
                <w:color w:val="000000"/>
                <w:sz w:val="28"/>
                <w:szCs w:val="28"/>
              </w:rPr>
              <w:t xml:space="preserve"> </w:t>
            </w:r>
            <w:r>
              <w:rPr>
                <w:rFonts w:hint="eastAsia" w:ascii="宋体" w:hAnsi="宋体"/>
                <w:b/>
                <w:bCs/>
                <w:color w:val="000000"/>
                <w:sz w:val="28"/>
                <w:szCs w:val="28"/>
              </w:rPr>
              <w:t xml:space="preserve">色 </w:t>
            </w:r>
            <w:r>
              <w:rPr>
                <w:rFonts w:ascii="宋体" w:hAnsi="宋体"/>
                <w:b/>
                <w:bCs/>
                <w:color w:val="000000"/>
                <w:sz w:val="28"/>
                <w:szCs w:val="28"/>
              </w:rPr>
              <w:t xml:space="preserve"> </w:t>
            </w:r>
            <w:r>
              <w:rPr>
                <w:rFonts w:hint="eastAsia" w:ascii="宋体" w:hAnsi="宋体"/>
                <w:b/>
                <w:bCs/>
                <w:color w:val="000000"/>
                <w:sz w:val="28"/>
                <w:szCs w:val="28"/>
              </w:rPr>
              <w:t xml:space="preserve">发 </w:t>
            </w:r>
            <w:r>
              <w:rPr>
                <w:rFonts w:ascii="宋体" w:hAnsi="宋体"/>
                <w:b/>
                <w:bCs/>
                <w:color w:val="000000"/>
                <w:sz w:val="28"/>
                <w:szCs w:val="28"/>
              </w:rPr>
              <w:t xml:space="preserve"> </w:t>
            </w:r>
            <w:r>
              <w:rPr>
                <w:rFonts w:hint="eastAsia" w:ascii="宋体" w:hAnsi="宋体"/>
                <w:b/>
                <w:bCs/>
                <w:color w:val="000000"/>
                <w:sz w:val="28"/>
                <w:szCs w:val="28"/>
              </w:rPr>
              <w:t>展</w:t>
            </w:r>
          </w:p>
          <w:p>
            <w:pPr>
              <w:widowControl/>
              <w:ind w:left="113" w:right="113"/>
              <w:textAlignment w:val="center"/>
              <w:rPr>
                <w:rFonts w:ascii="宋体" w:hAnsi="宋体"/>
                <w:color w:val="000000"/>
                <w:sz w:val="22"/>
              </w:rPr>
            </w:pPr>
          </w:p>
          <w:p>
            <w:pPr>
              <w:widowControl/>
              <w:ind w:left="113" w:right="113"/>
              <w:textAlignment w:val="center"/>
              <w:rPr>
                <w:rFonts w:ascii="宋体" w:hAnsi="宋体"/>
                <w:color w:val="000000"/>
                <w:sz w:val="22"/>
              </w:rPr>
            </w:pPr>
          </w:p>
          <w:p>
            <w:pPr>
              <w:widowControl/>
              <w:ind w:left="113" w:right="113"/>
              <w:textAlignment w:val="center"/>
              <w:rPr>
                <w:rFonts w:ascii="宋体" w:hAnsi="宋体"/>
                <w:color w:val="000000"/>
                <w:sz w:val="22"/>
              </w:rPr>
            </w:pPr>
          </w:p>
          <w:p>
            <w:pPr>
              <w:widowControl/>
              <w:ind w:left="113" w:right="113"/>
              <w:textAlignment w:val="center"/>
              <w:rPr>
                <w:rFonts w:ascii="宋体" w:hAnsi="宋体"/>
                <w:color w:val="000000"/>
                <w:sz w:val="22"/>
              </w:rPr>
            </w:pPr>
          </w:p>
          <w:p>
            <w:pPr>
              <w:widowControl/>
              <w:ind w:left="113" w:right="113"/>
              <w:textAlignment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《红色家书》品读</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2018年11月20日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全体学生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新媒体</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一等奖0.5分/人  二等奖0.4分/人  三等奖0.3分/人  优秀奖0.2</w:t>
            </w:r>
            <w:r>
              <w:rPr>
                <w:rFonts w:hint="eastAsia" w:asciiTheme="minorEastAsia" w:hAnsiTheme="minorEastAsia" w:eastAsiaTheme="minorEastAsia" w:cstheme="minorEastAsia"/>
                <w:color w:val="000000" w:themeColor="text1"/>
                <w:kern w:val="0"/>
                <w:sz w:val="22"/>
                <w:lang w:val="en-US" w:eastAsia="zh-CN" w:bidi="ar"/>
                <w14:textFill>
                  <w14:solidFill>
                    <w14:schemeClr w14:val="tx1"/>
                  </w14:solidFill>
                </w14:textFill>
              </w:rPr>
              <w:t>分</w:t>
            </w: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714" w:hRule="atLeast"/>
        </w:trPr>
        <w:tc>
          <w:tcPr>
            <w:tcW w:w="792" w:type="dxa"/>
            <w:vMerge w:val="continue"/>
            <w:tcBorders>
              <w:left w:val="single" w:color="000000" w:sz="4" w:space="0"/>
              <w:right w:val="single" w:color="000000" w:sz="4" w:space="0"/>
            </w:tcBorders>
            <w:shd w:val="clear" w:color="auto" w:fill="auto"/>
            <w:textDirection w:val="tbRlV"/>
          </w:tcPr>
          <w:p>
            <w:pPr>
              <w:widowControl/>
              <w:ind w:left="113" w:right="113"/>
              <w:textAlignment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书法比赛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国学社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79" w:hRule="atLeast"/>
        </w:trPr>
        <w:tc>
          <w:tcPr>
            <w:tcW w:w="792" w:type="dxa"/>
            <w:vMerge w:val="continue"/>
            <w:tcBorders>
              <w:left w:val="single" w:color="000000" w:sz="4" w:space="0"/>
              <w:right w:val="single" w:color="000000" w:sz="4" w:space="0"/>
            </w:tcBorders>
            <w:shd w:val="clear" w:color="auto" w:fill="auto"/>
            <w:textDirection w:val="tbRlV"/>
          </w:tcPr>
          <w:p>
            <w:pPr>
              <w:widowControl/>
              <w:ind w:left="113" w:right="113"/>
              <w:textAlignment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观德杯射箭比赛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国学社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60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64" w:hRule="atLeast"/>
        </w:trPr>
        <w:tc>
          <w:tcPr>
            <w:tcW w:w="792" w:type="dxa"/>
            <w:vMerge w:val="continue"/>
            <w:tcBorders>
              <w:left w:val="single" w:color="000000" w:sz="4" w:space="0"/>
              <w:right w:val="single" w:color="000000" w:sz="4" w:space="0"/>
            </w:tcBorders>
            <w:shd w:val="clear" w:color="auto" w:fill="auto"/>
            <w:textDirection w:val="tbRlV"/>
          </w:tcPr>
          <w:p>
            <w:pPr>
              <w:widowControl/>
              <w:ind w:left="113" w:right="113"/>
              <w:textAlignment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剪纸比赛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2018年12月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全校同学</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国学社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200</w:t>
            </w:r>
          </w:p>
        </w:tc>
        <w:tc>
          <w:tcPr>
            <w:tcW w:w="198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70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44" w:hRule="atLeast"/>
        </w:trPr>
        <w:tc>
          <w:tcPr>
            <w:tcW w:w="792" w:type="dxa"/>
            <w:vMerge w:val="continue"/>
            <w:tcBorders>
              <w:left w:val="single" w:color="000000" w:sz="4" w:space="0"/>
              <w:right w:val="single" w:color="000000" w:sz="4" w:space="0"/>
            </w:tcBorders>
            <w:shd w:val="clear" w:color="auto" w:fill="auto"/>
            <w:textDirection w:val="tbRlV"/>
          </w:tcPr>
          <w:p>
            <w:pPr>
              <w:widowControl/>
              <w:ind w:left="113" w:right="113"/>
              <w:textAlignment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书法比赛</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2018年10月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全院学生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学习部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100</w:t>
            </w:r>
          </w:p>
        </w:tc>
        <w:tc>
          <w:tcPr>
            <w:tcW w:w="19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85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“书式悦读”读书交流会</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院级</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2018年11月</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全校学生</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选修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蒲公英文学社</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0.5分/人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lang w:bidi="ar"/>
                <w14:textFill>
                  <w14:solidFill>
                    <w14:schemeClr w14:val="tx1"/>
                  </w14:solidFill>
                </w14:textFill>
              </w:rPr>
              <w:t>20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bl>
    <w:p>
      <w:pPr>
        <w:rPr>
          <w:rFonts w:ascii="黑体" w:hAnsi="黑体" w:eastAsia="黑体"/>
          <w:sz w:val="32"/>
          <w:szCs w:val="32"/>
        </w:rPr>
        <w:sectPr>
          <w:pgSz w:w="16838" w:h="11906" w:orient="landscape"/>
          <w:pgMar w:top="1644" w:right="1440" w:bottom="1644" w:left="1440" w:header="851" w:footer="992" w:gutter="0"/>
          <w:cols w:space="0" w:num="1"/>
          <w:docGrid w:type="lines" w:linePitch="312" w:charSpace="0"/>
        </w:sectPr>
      </w:pPr>
    </w:p>
    <w:p>
      <w:pPr>
        <w:rPr>
          <w:rFonts w:ascii="黑体" w:hAnsi="黑体" w:eastAsia="黑体"/>
          <w:sz w:val="32"/>
          <w:szCs w:val="32"/>
        </w:rPr>
      </w:pPr>
      <w:r>
        <w:rPr>
          <w:rFonts w:hint="eastAsia" w:ascii="黑体" w:hAnsi="黑体" w:eastAsia="黑体"/>
          <w:sz w:val="32"/>
          <w:szCs w:val="32"/>
        </w:rPr>
        <w:t>四、第二课堂成绩单学分修读要求</w:t>
      </w:r>
    </w:p>
    <w:p>
      <w:pPr>
        <w:rPr>
          <w:rFonts w:ascii="黑体" w:hAnsi="黑体" w:eastAsia="黑体"/>
          <w:sz w:val="32"/>
          <w:szCs w:val="32"/>
        </w:rPr>
      </w:pPr>
    </w:p>
    <w:tbl>
      <w:tblPr>
        <w:tblStyle w:val="8"/>
        <w:tblW w:w="8895" w:type="dxa"/>
        <w:jc w:val="center"/>
        <w:tblInd w:w="0" w:type="dxa"/>
        <w:tblLayout w:type="fixed"/>
        <w:tblCellMar>
          <w:top w:w="15" w:type="dxa"/>
          <w:left w:w="15" w:type="dxa"/>
          <w:bottom w:w="15" w:type="dxa"/>
          <w:right w:w="15" w:type="dxa"/>
        </w:tblCellMar>
      </w:tblPr>
      <w:tblGrid>
        <w:gridCol w:w="1133"/>
        <w:gridCol w:w="1421"/>
        <w:gridCol w:w="1050"/>
        <w:gridCol w:w="1038"/>
        <w:gridCol w:w="1063"/>
        <w:gridCol w:w="1138"/>
        <w:gridCol w:w="975"/>
        <w:gridCol w:w="1077"/>
      </w:tblGrid>
      <w:tr>
        <w:tblPrEx>
          <w:tblLayout w:type="fixed"/>
          <w:tblCellMar>
            <w:top w:w="15" w:type="dxa"/>
            <w:left w:w="15" w:type="dxa"/>
            <w:bottom w:w="15" w:type="dxa"/>
            <w:right w:w="15" w:type="dxa"/>
          </w:tblCellMar>
        </w:tblPrEx>
        <w:trPr>
          <w:trHeight w:val="49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学年</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社会责任</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创新能力</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实践能力</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身心修养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特色发展</w:t>
            </w:r>
          </w:p>
        </w:tc>
        <w:tc>
          <w:tcPr>
            <w:tcW w:w="10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color w:val="000000"/>
                <w:sz w:val="22"/>
              </w:rPr>
            </w:pPr>
            <w:r>
              <w:rPr>
                <w:rFonts w:hint="eastAsia" w:ascii="宋体" w:hAnsi="宋体"/>
                <w:b/>
                <w:color w:val="000000"/>
                <w:kern w:val="0"/>
                <w:sz w:val="22"/>
                <w:lang w:bidi="ar"/>
              </w:rPr>
              <w:t>合计</w:t>
            </w:r>
          </w:p>
        </w:tc>
      </w:tr>
      <w:tr>
        <w:tblPrEx>
          <w:tblLayout w:type="fixed"/>
          <w:tblCellMar>
            <w:top w:w="15" w:type="dxa"/>
            <w:left w:w="15" w:type="dxa"/>
            <w:bottom w:w="15" w:type="dxa"/>
            <w:right w:w="15" w:type="dxa"/>
          </w:tblCellMar>
        </w:tblPrEx>
        <w:trPr>
          <w:trHeight w:val="436" w:hRule="atLeast"/>
          <w:jc w:val="center"/>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大一学年</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第一学期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0.4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1.8 </w:t>
            </w:r>
          </w:p>
        </w:tc>
      </w:tr>
      <w:tr>
        <w:tblPrEx>
          <w:tblLayout w:type="fixed"/>
          <w:tblCellMar>
            <w:top w:w="15" w:type="dxa"/>
            <w:left w:w="15" w:type="dxa"/>
            <w:bottom w:w="15" w:type="dxa"/>
            <w:right w:w="15" w:type="dxa"/>
          </w:tblCellMar>
        </w:tblPrEx>
        <w:trPr>
          <w:trHeight w:val="436" w:hRule="atLeast"/>
          <w:jc w:val="center"/>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第二学期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0.4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0.4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1.7 </w:t>
            </w:r>
          </w:p>
        </w:tc>
      </w:tr>
      <w:tr>
        <w:tblPrEx>
          <w:tblLayout w:type="fixed"/>
          <w:tblCellMar>
            <w:top w:w="15" w:type="dxa"/>
            <w:left w:w="15" w:type="dxa"/>
            <w:bottom w:w="15" w:type="dxa"/>
            <w:right w:w="15" w:type="dxa"/>
          </w:tblCellMar>
        </w:tblPrEx>
        <w:trPr>
          <w:trHeight w:val="436" w:hRule="atLeast"/>
          <w:jc w:val="center"/>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大二学年</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第一学期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0.4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0.4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1.7 </w:t>
            </w:r>
          </w:p>
        </w:tc>
      </w:tr>
      <w:tr>
        <w:tblPrEx>
          <w:tblLayout w:type="fixed"/>
          <w:tblCellMar>
            <w:top w:w="15" w:type="dxa"/>
            <w:left w:w="15" w:type="dxa"/>
            <w:bottom w:w="15" w:type="dxa"/>
            <w:right w:w="15" w:type="dxa"/>
          </w:tblCellMar>
        </w:tblPrEx>
        <w:trPr>
          <w:trHeight w:val="436" w:hRule="atLeast"/>
          <w:jc w:val="center"/>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第二学期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0.4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0.2 </w:t>
            </w:r>
          </w:p>
        </w:tc>
        <w:tc>
          <w:tcPr>
            <w:tcW w:w="10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1.5 </w:t>
            </w:r>
          </w:p>
        </w:tc>
      </w:tr>
      <w:tr>
        <w:tblPrEx>
          <w:tblLayout w:type="fixed"/>
          <w:tblCellMar>
            <w:top w:w="15" w:type="dxa"/>
            <w:left w:w="15" w:type="dxa"/>
            <w:bottom w:w="15" w:type="dxa"/>
            <w:right w:w="15" w:type="dxa"/>
          </w:tblCellMar>
        </w:tblPrEx>
        <w:trPr>
          <w:trHeight w:val="436" w:hRule="atLeast"/>
          <w:jc w:val="center"/>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大三学年</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第一学期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0.3 </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0.5 </w:t>
            </w:r>
          </w:p>
        </w:tc>
        <w:tc>
          <w:tcPr>
            <w:tcW w:w="1077"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0.8 </w:t>
            </w:r>
          </w:p>
        </w:tc>
      </w:tr>
      <w:tr>
        <w:tblPrEx>
          <w:tblLayout w:type="fixed"/>
          <w:tblCellMar>
            <w:top w:w="15" w:type="dxa"/>
            <w:left w:w="15" w:type="dxa"/>
            <w:bottom w:w="15" w:type="dxa"/>
            <w:right w:w="15" w:type="dxa"/>
          </w:tblCellMar>
        </w:tblPrEx>
        <w:trPr>
          <w:trHeight w:val="436" w:hRule="atLeast"/>
          <w:jc w:val="center"/>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第二学期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07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Layout w:type="fixed"/>
          <w:tblCellMar>
            <w:top w:w="15" w:type="dxa"/>
            <w:left w:w="15" w:type="dxa"/>
            <w:bottom w:w="15" w:type="dxa"/>
            <w:right w:w="15" w:type="dxa"/>
          </w:tblCellMar>
        </w:tblPrEx>
        <w:trPr>
          <w:trHeight w:val="436" w:hRule="atLeast"/>
          <w:jc w:val="center"/>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大四学年</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第一学期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0.5 </w:t>
            </w:r>
          </w:p>
        </w:tc>
        <w:tc>
          <w:tcPr>
            <w:tcW w:w="1077"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 xml:space="preserve">0.5 </w:t>
            </w:r>
          </w:p>
        </w:tc>
      </w:tr>
      <w:tr>
        <w:tblPrEx>
          <w:tblLayout w:type="fixed"/>
          <w:tblCellMar>
            <w:top w:w="15" w:type="dxa"/>
            <w:left w:w="15" w:type="dxa"/>
            <w:bottom w:w="15" w:type="dxa"/>
            <w:right w:w="15" w:type="dxa"/>
          </w:tblCellMar>
        </w:tblPrEx>
        <w:trPr>
          <w:trHeight w:val="445" w:hRule="atLeast"/>
          <w:jc w:val="center"/>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第二学期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07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r>
    </w:tbl>
    <w:p>
      <w:pPr>
        <w:rPr>
          <w:rFonts w:ascii="黑体" w:hAnsi="黑体" w:eastAsia="黑体"/>
          <w:sz w:val="32"/>
          <w:szCs w:val="32"/>
        </w:rPr>
      </w:pPr>
    </w:p>
    <w:p>
      <w:pPr>
        <w:numPr>
          <w:ilvl w:val="0"/>
          <w:numId w:val="1"/>
        </w:numPr>
        <w:rPr>
          <w:rFonts w:ascii="黑体" w:hAnsi="黑体" w:eastAsia="黑体"/>
          <w:sz w:val="32"/>
          <w:szCs w:val="32"/>
        </w:rPr>
      </w:pPr>
      <w:r>
        <w:rPr>
          <w:rFonts w:hint="eastAsia" w:ascii="黑体" w:hAnsi="黑体" w:eastAsia="黑体"/>
          <w:sz w:val="32"/>
          <w:szCs w:val="32"/>
        </w:rPr>
        <w:t>其他</w:t>
      </w:r>
    </w:p>
    <w:p>
      <w:pPr>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1、学生可根据自己的专业、特长和兴趣爱好自由选择参与第二课堂活动项目，获得相应学分，同一项目所得学分只在第二课堂成绩单中记录一次，不交叉重复记录。</w:t>
      </w:r>
    </w:p>
    <w:p>
      <w:pPr>
        <w:ind w:firstLine="6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仿宋"/>
          <w:sz w:val="30"/>
          <w:szCs w:val="30"/>
        </w:rPr>
        <w:t>2、</w:t>
      </w:r>
      <w:r>
        <w:rPr>
          <w:rFonts w:hint="eastAsia" w:ascii="仿宋" w:hAnsi="仿宋" w:eastAsia="仿宋" w:cs="Times New Roman"/>
          <w:color w:val="000000" w:themeColor="text1"/>
          <w:sz w:val="30"/>
          <w:szCs w:val="30"/>
          <w14:textFill>
            <w14:solidFill>
              <w14:schemeClr w14:val="tx1"/>
            </w14:solidFill>
          </w14:textFill>
        </w:rPr>
        <w:t>第二课堂成绩单实施过程中，如有弄虚作假行为， 一经查实，取消学生相应学分记录，并在查清责任基础上，报学校相关部门追究有关责任。</w:t>
      </w:r>
    </w:p>
    <w:p>
      <w:pPr>
        <w:ind w:firstLine="6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3、学生如对第二课堂成绩单认定结果存在异议，可向学校第二课堂管理中心申诉。</w:t>
      </w:r>
    </w:p>
    <w:p>
      <w:pPr>
        <w:ind w:firstLine="600"/>
        <w:rPr>
          <w:rFonts w:ascii="仿宋" w:hAnsi="仿宋" w:eastAsia="仿宋" w:cs="Times New Roman"/>
          <w:color w:val="000000" w:themeColor="text1"/>
          <w:sz w:val="30"/>
          <w:szCs w:val="30"/>
          <w14:textFill>
            <w14:solidFill>
              <w14:schemeClr w14:val="tx1"/>
            </w14:solidFill>
          </w14:textFill>
        </w:rPr>
      </w:pPr>
    </w:p>
    <w:p>
      <w:pPr>
        <w:wordWrap w:val="0"/>
        <w:ind w:firstLine="600"/>
        <w:jc w:val="righ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文学与</w:t>
      </w:r>
      <w:bookmarkStart w:id="0" w:name="_GoBack"/>
      <w:bookmarkEnd w:id="0"/>
      <w:r>
        <w:rPr>
          <w:rFonts w:hint="eastAsia" w:ascii="仿宋" w:hAnsi="仿宋" w:eastAsia="仿宋" w:cs="Times New Roman"/>
          <w:color w:val="000000" w:themeColor="text1"/>
          <w:sz w:val="30"/>
          <w:szCs w:val="30"/>
          <w14:textFill>
            <w14:solidFill>
              <w14:schemeClr w14:val="tx1"/>
            </w14:solidFill>
          </w14:textFill>
        </w:rPr>
        <w:t xml:space="preserve">新闻传播学院   </w:t>
      </w:r>
    </w:p>
    <w:p>
      <w:pPr>
        <w:wordWrap w:val="0"/>
        <w:ind w:firstLine="600"/>
        <w:jc w:val="righ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 xml:space="preserve">2018.9.16       </w:t>
      </w:r>
    </w:p>
    <w:sectPr>
      <w:pgSz w:w="11906" w:h="16838"/>
      <w:pgMar w:top="1440" w:right="1644" w:bottom="1440"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0F2E4"/>
    <w:multiLevelType w:val="singleLevel"/>
    <w:tmpl w:val="5650F2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C5"/>
    <w:rsid w:val="0006384E"/>
    <w:rsid w:val="00143E40"/>
    <w:rsid w:val="00292E03"/>
    <w:rsid w:val="002E1C14"/>
    <w:rsid w:val="002F15F7"/>
    <w:rsid w:val="003F3F61"/>
    <w:rsid w:val="005E42C5"/>
    <w:rsid w:val="006D41C8"/>
    <w:rsid w:val="00741A10"/>
    <w:rsid w:val="00756F1A"/>
    <w:rsid w:val="00815789"/>
    <w:rsid w:val="00872832"/>
    <w:rsid w:val="00A71ABB"/>
    <w:rsid w:val="00AC124B"/>
    <w:rsid w:val="00B26B86"/>
    <w:rsid w:val="00BC7673"/>
    <w:rsid w:val="00BE2FB9"/>
    <w:rsid w:val="00C16098"/>
    <w:rsid w:val="00C41A75"/>
    <w:rsid w:val="00C90719"/>
    <w:rsid w:val="00CF6E6D"/>
    <w:rsid w:val="00E16E70"/>
    <w:rsid w:val="00F61533"/>
    <w:rsid w:val="00F70226"/>
    <w:rsid w:val="00FA5196"/>
    <w:rsid w:val="00FF0B3C"/>
    <w:rsid w:val="063B0536"/>
    <w:rsid w:val="10981686"/>
    <w:rsid w:val="18291405"/>
    <w:rsid w:val="208D7A6F"/>
    <w:rsid w:val="227F5704"/>
    <w:rsid w:val="232A4A5C"/>
    <w:rsid w:val="248F086E"/>
    <w:rsid w:val="2C530EA5"/>
    <w:rsid w:val="2FE67E5B"/>
    <w:rsid w:val="31726577"/>
    <w:rsid w:val="3B3D5299"/>
    <w:rsid w:val="3FED0027"/>
    <w:rsid w:val="455B6427"/>
    <w:rsid w:val="4A74325B"/>
    <w:rsid w:val="4D6269B2"/>
    <w:rsid w:val="4D7D505B"/>
    <w:rsid w:val="4F3F1929"/>
    <w:rsid w:val="572944E8"/>
    <w:rsid w:val="5F120536"/>
    <w:rsid w:val="620C10C3"/>
    <w:rsid w:val="62C663A7"/>
    <w:rsid w:val="648B0B45"/>
    <w:rsid w:val="653E3DC7"/>
    <w:rsid w:val="6BB85B9B"/>
    <w:rsid w:val="6D024819"/>
    <w:rsid w:val="746A291B"/>
    <w:rsid w:val="75BB4CCB"/>
    <w:rsid w:val="76384F0F"/>
    <w:rsid w:val="7C3B2BAA"/>
    <w:rsid w:val="7DE05F9C"/>
    <w:rsid w:val="7E443E83"/>
    <w:rsid w:val="7E661CEF"/>
    <w:rsid w:val="7FEA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9">
    <w:name w:val="font21"/>
    <w:basedOn w:val="7"/>
    <w:uiPriority w:val="0"/>
    <w:rPr>
      <w:rFonts w:ascii="font-weight : 400" w:hAnsi="font-weight : 400" w:eastAsia="font-weight : 400" w:cs="font-weight : 400"/>
      <w:color w:val="000000"/>
      <w:sz w:val="22"/>
      <w:szCs w:val="22"/>
      <w:u w:val="none"/>
    </w:rPr>
  </w:style>
  <w:style w:type="character" w:customStyle="1" w:styleId="10">
    <w:name w:val="页眉 字符"/>
    <w:basedOn w:val="7"/>
    <w:link w:val="6"/>
    <w:uiPriority w:val="0"/>
    <w:rPr>
      <w:rFonts w:ascii="Calibri" w:hAnsi="Calibri" w:cs="宋体"/>
      <w:kern w:val="2"/>
      <w:sz w:val="18"/>
      <w:szCs w:val="18"/>
    </w:rPr>
  </w:style>
  <w:style w:type="character" w:customStyle="1" w:styleId="11">
    <w:name w:val="页脚 字符"/>
    <w:basedOn w:val="7"/>
    <w:link w:val="5"/>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138FB-DD81-4A01-ACD2-38D5E333838C}">
  <ds:schemaRefs/>
</ds:datastoreItem>
</file>

<file path=docProps/app.xml><?xml version="1.0" encoding="utf-8"?>
<Properties xmlns="http://schemas.openxmlformats.org/officeDocument/2006/extended-properties" xmlns:vt="http://schemas.openxmlformats.org/officeDocument/2006/docPropsVTypes">
  <Template>Normal</Template>
  <Pages>13</Pages>
  <Words>889</Words>
  <Characters>5068</Characters>
  <Lines>42</Lines>
  <Paragraphs>11</Paragraphs>
  <TotalTime>6</TotalTime>
  <ScaleCrop>false</ScaleCrop>
  <LinksUpToDate>false</LinksUpToDate>
  <CharactersWithSpaces>5946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2018-09-13T11:43:00Z</dcterms:created>
  <dc:creator>Windows 用户</dc:creator>
  <cp:lastModifiedBy>Administrator</cp:lastModifiedBy>
  <cp:lastPrinted>2018-09-19T00:32:00Z</cp:lastPrinted>
  <dcterms:modified xsi:type="dcterms:W3CDTF">2018-09-19T02:39:53Z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